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批任务调度架构纪要（示例 Word）</w:t>
      </w:r>
    </w:p>
    <w:p>
      <w:r>
        <w:t>本文档为专利技能示例用虚构材料，与 Markdown 版 architecture.md 口径一致，用于测试 docx → Markdown 与内嵌图片抽取。</w:t>
      </w:r>
    </w:p>
    <w:p>
      <w:pPr>
        <w:pStyle w:val="Heading1"/>
      </w:pPr>
      <w:r>
        <w:t>1. 总体结构</w:t>
      </w:r>
    </w:p>
    <w:p>
      <w:r>
        <w:t>调度器维护全局队列；工作节点上报 CPU/内存/IO；配置中心提供优先级与阈值。</w:t>
      </w:r>
    </w:p>
    <w:p>
      <w:r>
        <w:t>下图为模块关系示意（示例配图，非真实架构图）。</w:t>
      </w:r>
    </w:p>
    <w:p>
      <w:r>
        <w:drawing>
          <wp:inline xmlns:a="http://schemas.openxmlformats.org/drawingml/2006/main" xmlns:pic="http://schemas.openxmlformats.org/drawingml/2006/picture">
            <wp:extent cx="5303520" cy="298323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ample_fig_module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832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2. 痛点与目标</w:t>
      </w:r>
    </w:p>
    <w:p>
      <w:r>
        <w:t>异构集群下大任务占满高性能节点、小任务长尾等待；目标为降低饥饿、可接受分钟级调度、限频重排。</w:t>
      </w:r>
    </w:p>
    <w:p>
      <w:r>
        <w:t>队列与异构节点示意：</w:t>
      </w:r>
    </w:p>
    <w:p>
      <w:r>
        <w:drawing>
          <wp:inline xmlns:a="http://schemas.openxmlformats.org/drawingml/2006/main" xmlns:pic="http://schemas.openxmlformats.org/drawingml/2006/picture">
            <wp:extent cx="5303520" cy="298323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ample_fig_queu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832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3. 模块对照</w:t>
      </w:r>
    </w:p>
    <w:p>
      <w:r>
        <w:t>资源画像聚合、匹配打分、限频重排队、派发、心跳契约 — 详见同目录 architecture.md 表格。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